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78" w:rsidRPr="0008380F" w:rsidRDefault="0092691F" w:rsidP="0008380F">
      <w:pPr>
        <w:pStyle w:val="NoSpacing"/>
        <w:jc w:val="center"/>
        <w:rPr>
          <w:b/>
        </w:rPr>
      </w:pPr>
      <w:r w:rsidRPr="0008380F">
        <w:rPr>
          <w:b/>
        </w:rPr>
        <w:t>The 2018</w:t>
      </w:r>
      <w:r w:rsidR="00D079CA" w:rsidRPr="0008380F">
        <w:rPr>
          <w:b/>
        </w:rPr>
        <w:t xml:space="preserve"> Yorkshire CSE Conference - </w:t>
      </w:r>
      <w:r w:rsidR="00EF24A5" w:rsidRPr="0008380F">
        <w:rPr>
          <w:b/>
        </w:rPr>
        <w:t>Workshops</w:t>
      </w:r>
    </w:p>
    <w:tbl>
      <w:tblPr>
        <w:tblStyle w:val="TableGrid"/>
        <w:tblW w:w="14884" w:type="dxa"/>
        <w:tblInd w:w="-1026" w:type="dxa"/>
        <w:tblLayout w:type="fixed"/>
        <w:tblLook w:val="04A0" w:firstRow="1" w:lastRow="0" w:firstColumn="1" w:lastColumn="0" w:noHBand="0" w:noVBand="1"/>
      </w:tblPr>
      <w:tblGrid>
        <w:gridCol w:w="2268"/>
        <w:gridCol w:w="6946"/>
        <w:gridCol w:w="5670"/>
      </w:tblGrid>
      <w:tr w:rsidR="00C01FC5" w:rsidRPr="0008380F" w:rsidTr="00C01FC5">
        <w:tc>
          <w:tcPr>
            <w:tcW w:w="2268" w:type="dxa"/>
            <w:shd w:val="clear" w:color="auto" w:fill="D9D9D9" w:themeFill="background1" w:themeFillShade="D9"/>
          </w:tcPr>
          <w:p w:rsidR="00C01FC5" w:rsidRPr="0008380F" w:rsidRDefault="00C01FC5" w:rsidP="00C71E40">
            <w:pPr>
              <w:rPr>
                <w:b/>
                <w:sz w:val="18"/>
                <w:szCs w:val="18"/>
              </w:rPr>
            </w:pPr>
            <w:r w:rsidRPr="0008380F">
              <w:rPr>
                <w:b/>
                <w:sz w:val="18"/>
                <w:szCs w:val="18"/>
              </w:rPr>
              <w:t>Workshop Title</w:t>
            </w:r>
          </w:p>
        </w:tc>
        <w:tc>
          <w:tcPr>
            <w:tcW w:w="6946" w:type="dxa"/>
            <w:shd w:val="clear" w:color="auto" w:fill="D9D9D9" w:themeFill="background1" w:themeFillShade="D9"/>
          </w:tcPr>
          <w:p w:rsidR="00C01FC5" w:rsidRPr="0008380F" w:rsidRDefault="00C01FC5" w:rsidP="00C71E40">
            <w:pPr>
              <w:rPr>
                <w:b/>
                <w:sz w:val="18"/>
                <w:szCs w:val="18"/>
              </w:rPr>
            </w:pPr>
            <w:r w:rsidRPr="0008380F">
              <w:rPr>
                <w:b/>
                <w:sz w:val="18"/>
                <w:szCs w:val="18"/>
              </w:rPr>
              <w:t>Workshop Information</w:t>
            </w:r>
          </w:p>
        </w:tc>
        <w:tc>
          <w:tcPr>
            <w:tcW w:w="5670" w:type="dxa"/>
            <w:shd w:val="clear" w:color="auto" w:fill="D9D9D9" w:themeFill="background1" w:themeFillShade="D9"/>
          </w:tcPr>
          <w:p w:rsidR="00C01FC5" w:rsidRPr="0008380F" w:rsidRDefault="00C01FC5" w:rsidP="00C71E40">
            <w:pPr>
              <w:rPr>
                <w:b/>
                <w:sz w:val="18"/>
                <w:szCs w:val="18"/>
              </w:rPr>
            </w:pPr>
            <w:r w:rsidRPr="0008380F">
              <w:rPr>
                <w:b/>
                <w:sz w:val="18"/>
                <w:szCs w:val="18"/>
              </w:rPr>
              <w:t>Workshop Provider</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 xml:space="preserve">Tomorrow Night </w:t>
            </w:r>
          </w:p>
        </w:tc>
        <w:tc>
          <w:tcPr>
            <w:tcW w:w="6946" w:type="dxa"/>
          </w:tcPr>
          <w:p w:rsidR="00C01FC5" w:rsidRPr="0008380F" w:rsidRDefault="00C01FC5" w:rsidP="00867D24">
            <w:pPr>
              <w:pStyle w:val="ListParagraph"/>
              <w:numPr>
                <w:ilvl w:val="0"/>
                <w:numId w:val="2"/>
              </w:numPr>
              <w:ind w:left="175" w:hanging="141"/>
              <w:rPr>
                <w:sz w:val="18"/>
                <w:szCs w:val="18"/>
              </w:rPr>
            </w:pPr>
            <w:r w:rsidRPr="0008380F">
              <w:rPr>
                <w:sz w:val="18"/>
                <w:szCs w:val="18"/>
              </w:rPr>
              <w:t>An interactive performance  workshop</w:t>
            </w:r>
          </w:p>
          <w:p w:rsidR="00C01FC5" w:rsidRPr="0008380F" w:rsidRDefault="00C01FC5" w:rsidP="00867D24">
            <w:pPr>
              <w:pStyle w:val="ListParagraph"/>
              <w:numPr>
                <w:ilvl w:val="0"/>
                <w:numId w:val="2"/>
              </w:numPr>
              <w:ind w:left="175" w:hanging="141"/>
              <w:rPr>
                <w:sz w:val="18"/>
                <w:szCs w:val="18"/>
              </w:rPr>
            </w:pPr>
            <w:r w:rsidRPr="0008380F">
              <w:rPr>
                <w:sz w:val="18"/>
                <w:szCs w:val="18"/>
              </w:rPr>
              <w:t>Aimed at provoking dialogue between young people and adults</w:t>
            </w:r>
          </w:p>
          <w:p w:rsidR="00C01FC5" w:rsidRPr="0008380F" w:rsidRDefault="00C01FC5" w:rsidP="00867D24">
            <w:pPr>
              <w:pStyle w:val="ListParagraph"/>
              <w:numPr>
                <w:ilvl w:val="0"/>
                <w:numId w:val="2"/>
              </w:numPr>
              <w:ind w:left="175" w:hanging="141"/>
              <w:rPr>
                <w:sz w:val="18"/>
                <w:szCs w:val="18"/>
              </w:rPr>
            </w:pPr>
            <w:r w:rsidRPr="0008380F">
              <w:rPr>
                <w:sz w:val="18"/>
                <w:szCs w:val="18"/>
              </w:rPr>
              <w:t>Exploitation of young men and our wider social responsibility</w:t>
            </w:r>
          </w:p>
        </w:tc>
        <w:tc>
          <w:tcPr>
            <w:tcW w:w="5670" w:type="dxa"/>
          </w:tcPr>
          <w:p w:rsidR="00C01FC5" w:rsidRPr="0008380F" w:rsidRDefault="00C01FC5" w:rsidP="002E2D78">
            <w:pPr>
              <w:rPr>
                <w:sz w:val="18"/>
                <w:szCs w:val="18"/>
              </w:rPr>
            </w:pPr>
            <w:r w:rsidRPr="0008380F">
              <w:rPr>
                <w:b/>
                <w:sz w:val="18"/>
                <w:szCs w:val="18"/>
              </w:rPr>
              <w:t>All Things Considered Theatre</w:t>
            </w:r>
            <w:r w:rsidRPr="0008380F">
              <w:rPr>
                <w:sz w:val="18"/>
                <w:szCs w:val="18"/>
              </w:rPr>
              <w:br/>
            </w:r>
            <w:r w:rsidRPr="0008380F">
              <w:rPr>
                <w:rFonts w:cs="Arial"/>
                <w:sz w:val="18"/>
                <w:szCs w:val="18"/>
              </w:rPr>
              <w:t>Intimate, socially engaged, immersive theatre performances</w:t>
            </w:r>
          </w:p>
        </w:tc>
      </w:tr>
      <w:tr w:rsidR="00C01FC5" w:rsidRPr="0008380F" w:rsidTr="00C01FC5">
        <w:trPr>
          <w:cantSplit/>
          <w:trHeight w:val="1134"/>
        </w:trPr>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 xml:space="preserve">Enabling  BME young people/communities to understand and become  aware of CSE </w:t>
            </w:r>
          </w:p>
        </w:tc>
        <w:tc>
          <w:tcPr>
            <w:tcW w:w="6946" w:type="dxa"/>
          </w:tcPr>
          <w:p w:rsidR="00C01FC5" w:rsidRPr="0008380F" w:rsidRDefault="00C01FC5" w:rsidP="00867D24">
            <w:pPr>
              <w:pStyle w:val="ListParagraph"/>
              <w:numPr>
                <w:ilvl w:val="0"/>
                <w:numId w:val="2"/>
              </w:numPr>
              <w:ind w:left="175" w:hanging="141"/>
              <w:rPr>
                <w:sz w:val="18"/>
                <w:szCs w:val="18"/>
              </w:rPr>
            </w:pPr>
            <w:r w:rsidRPr="0008380F">
              <w:rPr>
                <w:sz w:val="18"/>
                <w:szCs w:val="18"/>
              </w:rPr>
              <w:t>Using case studies exploring barriers within communities and external agency procedures, alongside biased media reporting that contribute towards a lack of reporting by BME children and young people</w:t>
            </w:r>
          </w:p>
          <w:p w:rsidR="00C01FC5" w:rsidRPr="0008380F" w:rsidRDefault="00C01FC5" w:rsidP="00867D24">
            <w:pPr>
              <w:pStyle w:val="ListParagraph"/>
              <w:numPr>
                <w:ilvl w:val="0"/>
                <w:numId w:val="2"/>
              </w:numPr>
              <w:ind w:left="175" w:hanging="141"/>
              <w:rPr>
                <w:sz w:val="18"/>
                <w:szCs w:val="18"/>
              </w:rPr>
            </w:pPr>
            <w:r w:rsidRPr="0008380F">
              <w:rPr>
                <w:sz w:val="18"/>
                <w:szCs w:val="18"/>
              </w:rPr>
              <w:t xml:space="preserve">Transform your learning into good practise </w:t>
            </w:r>
          </w:p>
          <w:p w:rsidR="00C01FC5" w:rsidRPr="0008380F" w:rsidRDefault="00C01FC5" w:rsidP="00867D24">
            <w:pPr>
              <w:pStyle w:val="ListParagraph"/>
              <w:numPr>
                <w:ilvl w:val="0"/>
                <w:numId w:val="3"/>
              </w:numPr>
              <w:ind w:left="175" w:hanging="141"/>
              <w:rPr>
                <w:sz w:val="18"/>
                <w:szCs w:val="18"/>
              </w:rPr>
            </w:pPr>
            <w:r w:rsidRPr="0008380F">
              <w:rPr>
                <w:sz w:val="18"/>
                <w:szCs w:val="18"/>
              </w:rPr>
              <w:t>Produce posters with key messages to overcome these obstacles</w:t>
            </w:r>
          </w:p>
        </w:tc>
        <w:tc>
          <w:tcPr>
            <w:tcW w:w="5670" w:type="dxa"/>
          </w:tcPr>
          <w:p w:rsidR="00C01FC5" w:rsidRPr="0008380F" w:rsidRDefault="00C01FC5">
            <w:pPr>
              <w:rPr>
                <w:b/>
                <w:sz w:val="18"/>
                <w:szCs w:val="18"/>
              </w:rPr>
            </w:pPr>
            <w:proofErr w:type="spellStart"/>
            <w:r w:rsidRPr="0008380F">
              <w:rPr>
                <w:b/>
                <w:sz w:val="18"/>
                <w:szCs w:val="18"/>
              </w:rPr>
              <w:t>Apna</w:t>
            </w:r>
            <w:proofErr w:type="spellEnd"/>
            <w:r w:rsidRPr="0008380F">
              <w:rPr>
                <w:b/>
                <w:sz w:val="18"/>
                <w:szCs w:val="18"/>
              </w:rPr>
              <w:t xml:space="preserve"> </w:t>
            </w:r>
            <w:proofErr w:type="spellStart"/>
            <w:r w:rsidRPr="0008380F">
              <w:rPr>
                <w:b/>
                <w:sz w:val="18"/>
                <w:szCs w:val="18"/>
              </w:rPr>
              <w:t>Haq</w:t>
            </w:r>
            <w:proofErr w:type="spellEnd"/>
          </w:p>
          <w:p w:rsidR="00C01FC5" w:rsidRPr="0008380F" w:rsidRDefault="00C01FC5">
            <w:pPr>
              <w:rPr>
                <w:sz w:val="18"/>
                <w:szCs w:val="18"/>
              </w:rPr>
            </w:pPr>
            <w:r w:rsidRPr="0008380F">
              <w:rPr>
                <w:sz w:val="18"/>
                <w:szCs w:val="18"/>
              </w:rPr>
              <w:t>An early intervention and prevention service supporting BME women &amp; girls on issues of violence against women</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Unconscious Gender Bias in BYM CSE</w:t>
            </w:r>
          </w:p>
        </w:tc>
        <w:tc>
          <w:tcPr>
            <w:tcW w:w="6946" w:type="dxa"/>
          </w:tcPr>
          <w:p w:rsidR="00C01FC5" w:rsidRPr="0008380F" w:rsidRDefault="00C01FC5" w:rsidP="00867D24">
            <w:pPr>
              <w:pStyle w:val="ListParagraph"/>
              <w:numPr>
                <w:ilvl w:val="0"/>
                <w:numId w:val="3"/>
              </w:numPr>
              <w:ind w:left="175" w:hanging="141"/>
              <w:rPr>
                <w:sz w:val="18"/>
                <w:szCs w:val="18"/>
              </w:rPr>
            </w:pPr>
            <w:r w:rsidRPr="0008380F">
              <w:rPr>
                <w:sz w:val="18"/>
                <w:szCs w:val="18"/>
              </w:rPr>
              <w:t>BYM CSE in SW London</w:t>
            </w:r>
          </w:p>
          <w:p w:rsidR="00C01FC5" w:rsidRPr="0008380F" w:rsidRDefault="00C01FC5" w:rsidP="00867D24">
            <w:pPr>
              <w:pStyle w:val="ListParagraph"/>
              <w:numPr>
                <w:ilvl w:val="0"/>
                <w:numId w:val="3"/>
              </w:numPr>
              <w:ind w:left="175" w:hanging="141"/>
              <w:rPr>
                <w:sz w:val="18"/>
                <w:szCs w:val="18"/>
              </w:rPr>
            </w:pPr>
            <w:r w:rsidRPr="0008380F">
              <w:rPr>
                <w:sz w:val="18"/>
                <w:szCs w:val="18"/>
              </w:rPr>
              <w:t>Explore concept of gender bias</w:t>
            </w:r>
          </w:p>
          <w:p w:rsidR="00C01FC5" w:rsidRPr="0008380F" w:rsidRDefault="00C01FC5" w:rsidP="00867D24">
            <w:pPr>
              <w:pStyle w:val="ListParagraph"/>
              <w:numPr>
                <w:ilvl w:val="0"/>
                <w:numId w:val="3"/>
              </w:numPr>
              <w:ind w:left="175" w:hanging="141"/>
              <w:rPr>
                <w:sz w:val="18"/>
                <w:szCs w:val="18"/>
              </w:rPr>
            </w:pPr>
            <w:r w:rsidRPr="0008380F">
              <w:rPr>
                <w:sz w:val="18"/>
                <w:szCs w:val="18"/>
              </w:rPr>
              <w:t>Proposal to shift perspectives</w:t>
            </w:r>
          </w:p>
        </w:tc>
        <w:tc>
          <w:tcPr>
            <w:tcW w:w="5670" w:type="dxa"/>
          </w:tcPr>
          <w:p w:rsidR="00C01FC5" w:rsidRPr="0008380F" w:rsidRDefault="00C01FC5" w:rsidP="00C01FC5">
            <w:pPr>
              <w:tabs>
                <w:tab w:val="left" w:pos="3645"/>
              </w:tabs>
              <w:rPr>
                <w:b/>
                <w:sz w:val="18"/>
                <w:szCs w:val="18"/>
              </w:rPr>
            </w:pPr>
            <w:r w:rsidRPr="0008380F">
              <w:rPr>
                <w:b/>
                <w:sz w:val="18"/>
                <w:szCs w:val="18"/>
              </w:rPr>
              <w:t>METRO Charity</w:t>
            </w:r>
          </w:p>
          <w:p w:rsidR="00C01FC5" w:rsidRPr="0008380F" w:rsidRDefault="00C01FC5">
            <w:pPr>
              <w:rPr>
                <w:sz w:val="18"/>
                <w:szCs w:val="18"/>
              </w:rPr>
            </w:pPr>
            <w:r w:rsidRPr="0008380F">
              <w:rPr>
                <w:sz w:val="18"/>
                <w:szCs w:val="18"/>
              </w:rPr>
              <w:t>“We want a world where difference is celebrated and valued, where discrimination is eliminated and where optimum health and wellbeing for all is a collective goal”</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 xml:space="preserve">CSE and the SARC </w:t>
            </w:r>
          </w:p>
        </w:tc>
        <w:tc>
          <w:tcPr>
            <w:tcW w:w="6946" w:type="dxa"/>
          </w:tcPr>
          <w:p w:rsidR="00C01FC5" w:rsidRPr="0008380F" w:rsidRDefault="00C01FC5" w:rsidP="00867D24">
            <w:pPr>
              <w:pStyle w:val="ListParagraph"/>
              <w:numPr>
                <w:ilvl w:val="0"/>
                <w:numId w:val="3"/>
              </w:numPr>
              <w:ind w:left="175" w:hanging="141"/>
              <w:rPr>
                <w:sz w:val="18"/>
                <w:szCs w:val="18"/>
              </w:rPr>
            </w:pPr>
            <w:r w:rsidRPr="0008380F">
              <w:rPr>
                <w:sz w:val="18"/>
                <w:szCs w:val="18"/>
              </w:rPr>
              <w:t>What the SARC does</w:t>
            </w:r>
          </w:p>
          <w:p w:rsidR="00C01FC5" w:rsidRPr="0008380F" w:rsidRDefault="00C01FC5" w:rsidP="00867D24">
            <w:pPr>
              <w:pStyle w:val="ListParagraph"/>
              <w:numPr>
                <w:ilvl w:val="0"/>
                <w:numId w:val="3"/>
              </w:numPr>
              <w:ind w:left="175" w:hanging="141"/>
              <w:rPr>
                <w:sz w:val="18"/>
                <w:szCs w:val="18"/>
              </w:rPr>
            </w:pPr>
            <w:r w:rsidRPr="0008380F">
              <w:rPr>
                <w:sz w:val="18"/>
                <w:szCs w:val="18"/>
              </w:rPr>
              <w:t>The Law and Forensics</w:t>
            </w:r>
          </w:p>
          <w:p w:rsidR="00C01FC5" w:rsidRPr="0008380F" w:rsidRDefault="00C01FC5" w:rsidP="00867D24">
            <w:pPr>
              <w:pStyle w:val="ListParagraph"/>
              <w:numPr>
                <w:ilvl w:val="0"/>
                <w:numId w:val="3"/>
              </w:numPr>
              <w:ind w:left="175" w:hanging="141"/>
              <w:rPr>
                <w:sz w:val="18"/>
                <w:szCs w:val="18"/>
              </w:rPr>
            </w:pPr>
            <w:r w:rsidRPr="0008380F">
              <w:rPr>
                <w:sz w:val="18"/>
                <w:szCs w:val="18"/>
              </w:rPr>
              <w:t>Future aims to improve work with CSE groups and the SARC</w:t>
            </w:r>
          </w:p>
        </w:tc>
        <w:tc>
          <w:tcPr>
            <w:tcW w:w="5670" w:type="dxa"/>
          </w:tcPr>
          <w:p w:rsidR="00C01FC5" w:rsidRPr="0008380F" w:rsidRDefault="00C01FC5">
            <w:pPr>
              <w:rPr>
                <w:sz w:val="18"/>
                <w:szCs w:val="18"/>
              </w:rPr>
            </w:pPr>
            <w:r w:rsidRPr="0008380F">
              <w:rPr>
                <w:b/>
                <w:sz w:val="18"/>
                <w:szCs w:val="18"/>
              </w:rPr>
              <w:t>West Yorkshire Sexual Assault Referral Centre – Paediatric Service (Mountain Healthcare)</w:t>
            </w:r>
            <w:r w:rsidRPr="0008380F">
              <w:rPr>
                <w:sz w:val="18"/>
                <w:szCs w:val="18"/>
              </w:rPr>
              <w:t xml:space="preserve"> </w:t>
            </w:r>
          </w:p>
          <w:p w:rsidR="00C01FC5" w:rsidRPr="0008380F" w:rsidRDefault="00C01FC5">
            <w:pPr>
              <w:rPr>
                <w:sz w:val="18"/>
                <w:szCs w:val="18"/>
              </w:rPr>
            </w:pPr>
            <w:r w:rsidRPr="0008380F">
              <w:rPr>
                <w:sz w:val="18"/>
                <w:szCs w:val="18"/>
              </w:rPr>
              <w:t>The SARC gathers forensic evidence in sexual assault cases</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Trauma informed responses to address the emotional health and wellbeing of children affected by CSE</w:t>
            </w:r>
          </w:p>
        </w:tc>
        <w:tc>
          <w:tcPr>
            <w:tcW w:w="6946" w:type="dxa"/>
          </w:tcPr>
          <w:p w:rsidR="00C01FC5" w:rsidRPr="0008380F" w:rsidRDefault="00C01FC5" w:rsidP="00454497">
            <w:pPr>
              <w:rPr>
                <w:sz w:val="18"/>
                <w:szCs w:val="18"/>
              </w:rPr>
            </w:pPr>
            <w:r w:rsidRPr="0008380F">
              <w:rPr>
                <w:sz w:val="18"/>
                <w:szCs w:val="18"/>
              </w:rPr>
              <w:t>Based upon evidence-based learning including that from a pilot project funded by Public Health England, the workshop will support practitioners to deliver trauma informed responses to address the emotional health and wellbeing of children and young people who experience, or are at risk of CSE, to prevent risk of CSE escalating and escalation of mental health issues</w:t>
            </w:r>
          </w:p>
        </w:tc>
        <w:tc>
          <w:tcPr>
            <w:tcW w:w="5670" w:type="dxa"/>
          </w:tcPr>
          <w:p w:rsidR="00C01FC5" w:rsidRPr="0008380F" w:rsidRDefault="00C01FC5" w:rsidP="005A5505">
            <w:pPr>
              <w:rPr>
                <w:sz w:val="18"/>
                <w:szCs w:val="18"/>
              </w:rPr>
            </w:pPr>
            <w:r w:rsidRPr="0008380F">
              <w:rPr>
                <w:b/>
                <w:sz w:val="18"/>
                <w:szCs w:val="18"/>
              </w:rPr>
              <w:t xml:space="preserve">Paradigm Research </w:t>
            </w:r>
            <w:r w:rsidRPr="0008380F">
              <w:rPr>
                <w:sz w:val="18"/>
                <w:szCs w:val="18"/>
              </w:rPr>
              <w:br/>
              <w:t xml:space="preserve">Social Research, Evaluation, Training and Consultancy </w:t>
            </w:r>
          </w:p>
          <w:p w:rsidR="00C01FC5" w:rsidRPr="0008380F" w:rsidRDefault="00C01FC5" w:rsidP="005A5505">
            <w:pPr>
              <w:rPr>
                <w:sz w:val="18"/>
                <w:szCs w:val="18"/>
              </w:rPr>
            </w:pP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Is Social Pedagogy reflected in CSE Caseworkers practice?</w:t>
            </w:r>
          </w:p>
        </w:tc>
        <w:tc>
          <w:tcPr>
            <w:tcW w:w="6946" w:type="dxa"/>
          </w:tcPr>
          <w:p w:rsidR="00C01FC5" w:rsidRPr="0008380F" w:rsidRDefault="00C01FC5" w:rsidP="005A5505">
            <w:pPr>
              <w:pStyle w:val="ListParagraph"/>
              <w:numPr>
                <w:ilvl w:val="0"/>
                <w:numId w:val="3"/>
              </w:numPr>
              <w:ind w:left="175" w:hanging="142"/>
              <w:rPr>
                <w:sz w:val="18"/>
                <w:szCs w:val="18"/>
              </w:rPr>
            </w:pPr>
            <w:r w:rsidRPr="0008380F">
              <w:rPr>
                <w:sz w:val="18"/>
                <w:szCs w:val="18"/>
              </w:rPr>
              <w:t>CSE impacts upon the ability of some children to remain in mainstream education. Risking their educational outcomes and futures</w:t>
            </w:r>
          </w:p>
          <w:p w:rsidR="00C01FC5" w:rsidRPr="0008380F" w:rsidRDefault="00C01FC5" w:rsidP="005A5505">
            <w:pPr>
              <w:pStyle w:val="ListParagraph"/>
              <w:numPr>
                <w:ilvl w:val="0"/>
                <w:numId w:val="3"/>
              </w:numPr>
              <w:ind w:left="175" w:hanging="142"/>
              <w:rPr>
                <w:sz w:val="18"/>
                <w:szCs w:val="18"/>
              </w:rPr>
            </w:pPr>
            <w:r w:rsidRPr="0008380F">
              <w:rPr>
                <w:sz w:val="18"/>
                <w:szCs w:val="18"/>
              </w:rPr>
              <w:t>CSE caseworkers use methods that are holistic and practical to help children re-engage with their education</w:t>
            </w:r>
          </w:p>
          <w:p w:rsidR="00C01FC5" w:rsidRPr="0008380F" w:rsidRDefault="00C01FC5" w:rsidP="005A5505">
            <w:pPr>
              <w:pStyle w:val="ListParagraph"/>
              <w:numPr>
                <w:ilvl w:val="0"/>
                <w:numId w:val="5"/>
              </w:numPr>
              <w:ind w:left="175" w:hanging="142"/>
              <w:rPr>
                <w:sz w:val="18"/>
                <w:szCs w:val="18"/>
              </w:rPr>
            </w:pPr>
            <w:r w:rsidRPr="0008380F">
              <w:rPr>
                <w:sz w:val="18"/>
                <w:szCs w:val="18"/>
              </w:rPr>
              <w:t>Is this approach social pedagogy?</w:t>
            </w:r>
          </w:p>
        </w:tc>
        <w:tc>
          <w:tcPr>
            <w:tcW w:w="5670" w:type="dxa"/>
          </w:tcPr>
          <w:p w:rsidR="00C01FC5" w:rsidRPr="0008380F" w:rsidRDefault="00C01FC5" w:rsidP="00454497">
            <w:pPr>
              <w:rPr>
                <w:b/>
                <w:sz w:val="18"/>
                <w:szCs w:val="18"/>
              </w:rPr>
            </w:pPr>
            <w:r w:rsidRPr="0008380F">
              <w:rPr>
                <w:b/>
                <w:sz w:val="18"/>
                <w:szCs w:val="18"/>
              </w:rPr>
              <w:t>Thyme Research and Consultancy</w:t>
            </w:r>
          </w:p>
          <w:p w:rsidR="00C01FC5" w:rsidRPr="0008380F" w:rsidRDefault="00C01FC5" w:rsidP="00454497">
            <w:pPr>
              <w:rPr>
                <w:sz w:val="18"/>
                <w:szCs w:val="18"/>
              </w:rPr>
            </w:pPr>
            <w:r w:rsidRPr="0008380F">
              <w:rPr>
                <w:sz w:val="18"/>
                <w:szCs w:val="18"/>
              </w:rPr>
              <w:t>Supporting the voluntary and statutory sectors in understanding, preventing and protecting children from CSE</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We Never Talk About It! The Increasing Risks of Online Pornography</w:t>
            </w:r>
          </w:p>
        </w:tc>
        <w:tc>
          <w:tcPr>
            <w:tcW w:w="6946" w:type="dxa"/>
          </w:tcPr>
          <w:p w:rsidR="00C01FC5" w:rsidRPr="0008380F" w:rsidRDefault="00C01FC5" w:rsidP="005A5505">
            <w:pPr>
              <w:pStyle w:val="ListParagraph"/>
              <w:numPr>
                <w:ilvl w:val="0"/>
                <w:numId w:val="5"/>
              </w:numPr>
              <w:ind w:left="175" w:hanging="142"/>
              <w:rPr>
                <w:sz w:val="18"/>
                <w:szCs w:val="18"/>
              </w:rPr>
            </w:pPr>
            <w:r w:rsidRPr="0008380F">
              <w:rPr>
                <w:sz w:val="18"/>
                <w:szCs w:val="18"/>
              </w:rPr>
              <w:t>Facts regarding Online Pornography</w:t>
            </w:r>
          </w:p>
          <w:p w:rsidR="00C01FC5" w:rsidRPr="0008380F" w:rsidRDefault="00C01FC5" w:rsidP="005A5505">
            <w:pPr>
              <w:pStyle w:val="ListParagraph"/>
              <w:numPr>
                <w:ilvl w:val="0"/>
                <w:numId w:val="5"/>
              </w:numPr>
              <w:ind w:left="175" w:hanging="142"/>
              <w:rPr>
                <w:sz w:val="18"/>
                <w:szCs w:val="18"/>
              </w:rPr>
            </w:pPr>
            <w:r w:rsidRPr="0008380F">
              <w:rPr>
                <w:sz w:val="18"/>
                <w:szCs w:val="18"/>
              </w:rPr>
              <w:t>Risks regarding Online Pornography</w:t>
            </w:r>
          </w:p>
          <w:p w:rsidR="00C01FC5" w:rsidRPr="0008380F" w:rsidRDefault="00C01FC5" w:rsidP="005A5505">
            <w:pPr>
              <w:pStyle w:val="ListParagraph"/>
              <w:numPr>
                <w:ilvl w:val="0"/>
                <w:numId w:val="5"/>
              </w:numPr>
              <w:ind w:left="175" w:hanging="142"/>
              <w:rPr>
                <w:sz w:val="18"/>
                <w:szCs w:val="18"/>
              </w:rPr>
            </w:pPr>
            <w:r w:rsidRPr="0008380F">
              <w:rPr>
                <w:sz w:val="18"/>
                <w:szCs w:val="18"/>
              </w:rPr>
              <w:t>What next?</w:t>
            </w:r>
          </w:p>
        </w:tc>
        <w:tc>
          <w:tcPr>
            <w:tcW w:w="5670" w:type="dxa"/>
          </w:tcPr>
          <w:p w:rsidR="00C01FC5" w:rsidRPr="0008380F" w:rsidRDefault="00C01FC5">
            <w:pPr>
              <w:rPr>
                <w:rFonts w:cs="Arial"/>
                <w:b/>
                <w:sz w:val="18"/>
                <w:szCs w:val="18"/>
              </w:rPr>
            </w:pPr>
            <w:r w:rsidRPr="0008380F">
              <w:rPr>
                <w:rFonts w:cs="Arial"/>
                <w:b/>
                <w:sz w:val="18"/>
                <w:szCs w:val="18"/>
              </w:rPr>
              <w:t>WNTAI Ltd</w:t>
            </w:r>
          </w:p>
          <w:p w:rsidR="00C01FC5" w:rsidRPr="0008380F" w:rsidRDefault="00C01FC5">
            <w:pPr>
              <w:rPr>
                <w:sz w:val="18"/>
                <w:szCs w:val="18"/>
              </w:rPr>
            </w:pPr>
            <w:r w:rsidRPr="0008380F">
              <w:rPr>
                <w:rFonts w:cs="Arial"/>
                <w:sz w:val="18"/>
                <w:szCs w:val="18"/>
              </w:rPr>
              <w:t>WNTAI talks to organisations and individuals about the Risks Associated With Online Pornography</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 xml:space="preserve">Working with those who have caused sexual harm </w:t>
            </w:r>
          </w:p>
        </w:tc>
        <w:tc>
          <w:tcPr>
            <w:tcW w:w="6946" w:type="dxa"/>
          </w:tcPr>
          <w:p w:rsidR="00C01FC5" w:rsidRPr="0008380F" w:rsidRDefault="00C01FC5" w:rsidP="0050675E">
            <w:pPr>
              <w:pStyle w:val="ListParagraph"/>
              <w:numPr>
                <w:ilvl w:val="0"/>
                <w:numId w:val="5"/>
              </w:numPr>
              <w:ind w:left="175" w:hanging="142"/>
              <w:rPr>
                <w:sz w:val="18"/>
                <w:szCs w:val="18"/>
              </w:rPr>
            </w:pPr>
            <w:r w:rsidRPr="0008380F">
              <w:rPr>
                <w:sz w:val="18"/>
                <w:szCs w:val="18"/>
              </w:rPr>
              <w:t>To raise awareness of sexual offending and harm</w:t>
            </w:r>
          </w:p>
          <w:p w:rsidR="00C01FC5" w:rsidRPr="0008380F" w:rsidRDefault="00C01FC5" w:rsidP="0050675E">
            <w:pPr>
              <w:pStyle w:val="ListParagraph"/>
              <w:numPr>
                <w:ilvl w:val="0"/>
                <w:numId w:val="5"/>
              </w:numPr>
              <w:ind w:left="175" w:hanging="142"/>
              <w:rPr>
                <w:sz w:val="18"/>
                <w:szCs w:val="18"/>
              </w:rPr>
            </w:pPr>
            <w:r w:rsidRPr="0008380F">
              <w:rPr>
                <w:sz w:val="18"/>
                <w:szCs w:val="18"/>
              </w:rPr>
              <w:t>To have a greater understanding of a community response in working with those who have cause sexual harm to aim for no more victims.</w:t>
            </w:r>
          </w:p>
          <w:p w:rsidR="00C01FC5" w:rsidRPr="0008380F" w:rsidRDefault="00C01FC5" w:rsidP="0050675E">
            <w:pPr>
              <w:pStyle w:val="ListParagraph"/>
              <w:numPr>
                <w:ilvl w:val="0"/>
                <w:numId w:val="6"/>
              </w:numPr>
              <w:ind w:left="175" w:hanging="142"/>
              <w:rPr>
                <w:sz w:val="18"/>
                <w:szCs w:val="18"/>
              </w:rPr>
            </w:pPr>
            <w:r w:rsidRPr="0008380F">
              <w:rPr>
                <w:sz w:val="18"/>
                <w:szCs w:val="18"/>
              </w:rPr>
              <w:t>To understand your own personal barriers and limitations when working with those who cause sexual harm</w:t>
            </w:r>
          </w:p>
        </w:tc>
        <w:tc>
          <w:tcPr>
            <w:tcW w:w="5670" w:type="dxa"/>
          </w:tcPr>
          <w:p w:rsidR="00C01FC5" w:rsidRPr="0008380F" w:rsidRDefault="00C01FC5">
            <w:pPr>
              <w:rPr>
                <w:sz w:val="18"/>
                <w:szCs w:val="18"/>
              </w:rPr>
            </w:pPr>
            <w:r w:rsidRPr="0008380F">
              <w:rPr>
                <w:b/>
                <w:sz w:val="18"/>
                <w:szCs w:val="18"/>
              </w:rPr>
              <w:t>Yorkshire, Humberside, Lincolnshire Circles of Support and Accountability. (YHLCOSA)</w:t>
            </w:r>
            <w:r w:rsidRPr="0008380F">
              <w:rPr>
                <w:sz w:val="18"/>
                <w:szCs w:val="18"/>
              </w:rPr>
              <w:br/>
              <w:t>To ensure that any person, who has caused, or is at risk of causing, sexual harm, and is considered eligible for support, will have a Circle of Support and Accountability available to work with them.</w:t>
            </w: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 xml:space="preserve">Using CSE resources safely and effectively </w:t>
            </w:r>
          </w:p>
        </w:tc>
        <w:tc>
          <w:tcPr>
            <w:tcW w:w="6946" w:type="dxa"/>
          </w:tcPr>
          <w:p w:rsidR="00C01FC5" w:rsidRPr="0008380F" w:rsidRDefault="00C01FC5" w:rsidP="0050675E">
            <w:pPr>
              <w:pStyle w:val="ListParagraph"/>
              <w:numPr>
                <w:ilvl w:val="0"/>
                <w:numId w:val="6"/>
              </w:numPr>
              <w:ind w:left="175" w:hanging="142"/>
              <w:rPr>
                <w:sz w:val="18"/>
                <w:szCs w:val="18"/>
              </w:rPr>
            </w:pPr>
            <w:r w:rsidRPr="0008380F">
              <w:rPr>
                <w:sz w:val="18"/>
                <w:szCs w:val="18"/>
              </w:rPr>
              <w:t>Exploring the benefits of using CSE resources with children and young people</w:t>
            </w:r>
          </w:p>
          <w:p w:rsidR="00C01FC5" w:rsidRPr="0008380F" w:rsidRDefault="00C01FC5" w:rsidP="0050675E">
            <w:pPr>
              <w:pStyle w:val="ListParagraph"/>
              <w:numPr>
                <w:ilvl w:val="0"/>
                <w:numId w:val="6"/>
              </w:numPr>
              <w:ind w:left="175" w:hanging="142"/>
              <w:rPr>
                <w:sz w:val="18"/>
                <w:szCs w:val="18"/>
              </w:rPr>
            </w:pPr>
            <w:r w:rsidRPr="0008380F">
              <w:rPr>
                <w:sz w:val="18"/>
                <w:szCs w:val="18"/>
              </w:rPr>
              <w:t>Addressing the potential pitfalls and how to effectively manage these</w:t>
            </w:r>
          </w:p>
          <w:p w:rsidR="00C01FC5" w:rsidRPr="0008380F" w:rsidRDefault="00C01FC5" w:rsidP="0050675E">
            <w:pPr>
              <w:pStyle w:val="ListParagraph"/>
              <w:numPr>
                <w:ilvl w:val="0"/>
                <w:numId w:val="6"/>
              </w:numPr>
              <w:ind w:left="175" w:hanging="142"/>
              <w:rPr>
                <w:sz w:val="18"/>
                <w:szCs w:val="18"/>
              </w:rPr>
            </w:pPr>
            <w:r w:rsidRPr="0008380F">
              <w:rPr>
                <w:sz w:val="18"/>
                <w:szCs w:val="18"/>
              </w:rPr>
              <w:t>How to introduce and use various resources with different groups and individuals and how to measure outcomes</w:t>
            </w:r>
          </w:p>
        </w:tc>
        <w:tc>
          <w:tcPr>
            <w:tcW w:w="5670" w:type="dxa"/>
          </w:tcPr>
          <w:p w:rsidR="00C01FC5" w:rsidRPr="0008380F" w:rsidRDefault="00C01FC5" w:rsidP="0050675E">
            <w:pPr>
              <w:rPr>
                <w:sz w:val="18"/>
                <w:szCs w:val="18"/>
              </w:rPr>
            </w:pPr>
            <w:r w:rsidRPr="0008380F">
              <w:rPr>
                <w:b/>
                <w:sz w:val="18"/>
                <w:szCs w:val="18"/>
              </w:rPr>
              <w:t>The BLAST Project</w:t>
            </w:r>
            <w:r w:rsidRPr="0008380F">
              <w:rPr>
                <w:sz w:val="18"/>
                <w:szCs w:val="18"/>
              </w:rPr>
              <w:t xml:space="preserve"> The UK’s leading male only sexual </w:t>
            </w:r>
            <w:r w:rsidR="00EB204A">
              <w:rPr>
                <w:sz w:val="18"/>
                <w:szCs w:val="18"/>
              </w:rPr>
              <w:t>exploitation project</w:t>
            </w:r>
          </w:p>
          <w:p w:rsidR="00EB204A" w:rsidRPr="00934C88" w:rsidRDefault="00C01FC5" w:rsidP="00EB204A">
            <w:pPr>
              <w:pStyle w:val="NoSpacing"/>
              <w:rPr>
                <w:rFonts w:cs="Arial"/>
                <w:sz w:val="20"/>
                <w:szCs w:val="20"/>
              </w:rPr>
            </w:pPr>
            <w:r w:rsidRPr="0008380F">
              <w:rPr>
                <w:b/>
                <w:sz w:val="18"/>
                <w:szCs w:val="18"/>
              </w:rPr>
              <w:t xml:space="preserve">Basis </w:t>
            </w:r>
            <w:r w:rsidR="00EB204A" w:rsidRPr="00EB204A">
              <w:rPr>
                <w:sz w:val="18"/>
                <w:szCs w:val="18"/>
              </w:rPr>
              <w:t>Supporting young women in Leeds at medium to high risk of or experience C</w:t>
            </w:r>
            <w:bookmarkStart w:id="0" w:name="_GoBack"/>
            <w:bookmarkEnd w:id="0"/>
            <w:r w:rsidR="00EB204A" w:rsidRPr="00EB204A">
              <w:rPr>
                <w:sz w:val="18"/>
                <w:szCs w:val="18"/>
              </w:rPr>
              <w:t>SE.</w:t>
            </w:r>
          </w:p>
          <w:p w:rsidR="00C01FC5" w:rsidRPr="0008380F" w:rsidRDefault="00C01FC5" w:rsidP="00C01FC5">
            <w:pPr>
              <w:rPr>
                <w:sz w:val="18"/>
                <w:szCs w:val="18"/>
              </w:rPr>
            </w:pPr>
          </w:p>
        </w:tc>
      </w:tr>
      <w:tr w:rsidR="00C01FC5" w:rsidRPr="0008380F" w:rsidTr="00C01FC5">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Protective Behaviours &amp; CSE</w:t>
            </w:r>
          </w:p>
        </w:tc>
        <w:tc>
          <w:tcPr>
            <w:tcW w:w="6946" w:type="dxa"/>
          </w:tcPr>
          <w:p w:rsidR="00C01FC5" w:rsidRPr="0008380F" w:rsidRDefault="00C01FC5" w:rsidP="0050675E">
            <w:pPr>
              <w:pStyle w:val="ListParagraph"/>
              <w:numPr>
                <w:ilvl w:val="0"/>
                <w:numId w:val="6"/>
              </w:numPr>
              <w:ind w:left="175" w:hanging="142"/>
              <w:rPr>
                <w:sz w:val="18"/>
                <w:szCs w:val="18"/>
              </w:rPr>
            </w:pPr>
            <w:r w:rsidRPr="0008380F">
              <w:rPr>
                <w:sz w:val="18"/>
                <w:szCs w:val="18"/>
              </w:rPr>
              <w:t>Intro to Protective Behaviours Process</w:t>
            </w:r>
          </w:p>
          <w:p w:rsidR="00C01FC5" w:rsidRPr="0008380F" w:rsidRDefault="00C01FC5" w:rsidP="0050675E">
            <w:pPr>
              <w:pStyle w:val="ListParagraph"/>
              <w:numPr>
                <w:ilvl w:val="0"/>
                <w:numId w:val="6"/>
              </w:numPr>
              <w:ind w:left="175" w:hanging="142"/>
              <w:rPr>
                <w:sz w:val="18"/>
                <w:szCs w:val="18"/>
              </w:rPr>
            </w:pPr>
            <w:r w:rsidRPr="0008380F">
              <w:rPr>
                <w:sz w:val="18"/>
                <w:szCs w:val="18"/>
              </w:rPr>
              <w:t>Helping young people feel safer</w:t>
            </w:r>
          </w:p>
          <w:p w:rsidR="00C01FC5" w:rsidRPr="0008380F" w:rsidRDefault="00C01FC5" w:rsidP="0050675E">
            <w:pPr>
              <w:pStyle w:val="ListParagraph"/>
              <w:numPr>
                <w:ilvl w:val="0"/>
                <w:numId w:val="7"/>
              </w:numPr>
              <w:ind w:left="175" w:hanging="142"/>
              <w:rPr>
                <w:sz w:val="18"/>
                <w:szCs w:val="18"/>
              </w:rPr>
            </w:pPr>
            <w:r w:rsidRPr="0008380F">
              <w:rPr>
                <w:sz w:val="18"/>
                <w:szCs w:val="18"/>
              </w:rPr>
              <w:t>Asking for help</w:t>
            </w:r>
          </w:p>
        </w:tc>
        <w:tc>
          <w:tcPr>
            <w:tcW w:w="5670" w:type="dxa"/>
          </w:tcPr>
          <w:p w:rsidR="00C01FC5" w:rsidRPr="0008380F" w:rsidRDefault="00C01FC5">
            <w:pPr>
              <w:rPr>
                <w:b/>
                <w:sz w:val="18"/>
                <w:szCs w:val="18"/>
              </w:rPr>
            </w:pPr>
            <w:r w:rsidRPr="0008380F">
              <w:rPr>
                <w:b/>
                <w:sz w:val="18"/>
                <w:szCs w:val="18"/>
              </w:rPr>
              <w:t>Protective Behaviours Training Partnership</w:t>
            </w:r>
          </w:p>
        </w:tc>
      </w:tr>
      <w:tr w:rsidR="00C01FC5" w:rsidRPr="0008380F" w:rsidTr="00C01FC5">
        <w:trPr>
          <w:cantSplit/>
          <w:trHeight w:val="1134"/>
        </w:trPr>
        <w:tc>
          <w:tcPr>
            <w:tcW w:w="2268" w:type="dxa"/>
          </w:tcPr>
          <w:p w:rsidR="00C01FC5" w:rsidRPr="005C3A49" w:rsidRDefault="00C01FC5" w:rsidP="005C3A49">
            <w:pPr>
              <w:pStyle w:val="ListParagraph"/>
              <w:numPr>
                <w:ilvl w:val="0"/>
                <w:numId w:val="8"/>
              </w:numPr>
              <w:ind w:left="317" w:hanging="284"/>
              <w:rPr>
                <w:sz w:val="18"/>
                <w:szCs w:val="18"/>
              </w:rPr>
            </w:pPr>
            <w:r w:rsidRPr="005C3A49">
              <w:rPr>
                <w:sz w:val="18"/>
                <w:szCs w:val="18"/>
              </w:rPr>
              <w:t>‘Average Joe’</w:t>
            </w:r>
          </w:p>
        </w:tc>
        <w:tc>
          <w:tcPr>
            <w:tcW w:w="6946" w:type="dxa"/>
          </w:tcPr>
          <w:p w:rsidR="00C01FC5" w:rsidRPr="0008380F" w:rsidRDefault="00C01FC5" w:rsidP="0050675E">
            <w:pPr>
              <w:pStyle w:val="ListParagraph"/>
              <w:numPr>
                <w:ilvl w:val="0"/>
                <w:numId w:val="7"/>
              </w:numPr>
              <w:ind w:left="175" w:hanging="142"/>
              <w:rPr>
                <w:sz w:val="18"/>
                <w:szCs w:val="18"/>
              </w:rPr>
            </w:pPr>
            <w:r w:rsidRPr="0008380F">
              <w:rPr>
                <w:sz w:val="18"/>
                <w:szCs w:val="18"/>
              </w:rPr>
              <w:t>Education and Prevention</w:t>
            </w:r>
          </w:p>
          <w:p w:rsidR="00C01FC5" w:rsidRPr="0008380F" w:rsidRDefault="00C01FC5" w:rsidP="0050675E">
            <w:pPr>
              <w:pStyle w:val="ListParagraph"/>
              <w:numPr>
                <w:ilvl w:val="0"/>
                <w:numId w:val="7"/>
              </w:numPr>
              <w:ind w:left="175" w:hanging="142"/>
              <w:rPr>
                <w:sz w:val="18"/>
                <w:szCs w:val="18"/>
              </w:rPr>
            </w:pPr>
            <w:r w:rsidRPr="0008380F">
              <w:rPr>
                <w:sz w:val="18"/>
                <w:szCs w:val="18"/>
              </w:rPr>
              <w:t>Boys CSE</w:t>
            </w:r>
          </w:p>
          <w:p w:rsidR="00C01FC5" w:rsidRPr="0008380F" w:rsidRDefault="00C01FC5" w:rsidP="0050675E">
            <w:pPr>
              <w:pStyle w:val="ListParagraph"/>
              <w:numPr>
                <w:ilvl w:val="0"/>
                <w:numId w:val="7"/>
              </w:numPr>
              <w:ind w:left="175" w:hanging="142"/>
              <w:rPr>
                <w:sz w:val="18"/>
                <w:szCs w:val="18"/>
              </w:rPr>
            </w:pPr>
            <w:r w:rsidRPr="0008380F">
              <w:rPr>
                <w:sz w:val="18"/>
                <w:szCs w:val="18"/>
              </w:rPr>
              <w:t>Running Away/Missing</w:t>
            </w:r>
          </w:p>
        </w:tc>
        <w:tc>
          <w:tcPr>
            <w:tcW w:w="5670" w:type="dxa"/>
          </w:tcPr>
          <w:p w:rsidR="00C01FC5" w:rsidRPr="0008380F" w:rsidRDefault="00C01FC5">
            <w:pPr>
              <w:rPr>
                <w:b/>
                <w:sz w:val="18"/>
                <w:szCs w:val="18"/>
              </w:rPr>
            </w:pPr>
            <w:r w:rsidRPr="0008380F">
              <w:rPr>
                <w:b/>
                <w:sz w:val="18"/>
                <w:szCs w:val="18"/>
              </w:rPr>
              <w:t xml:space="preserve">Right Here Right Now Education &amp; Prevention, part of SAFE@LAST </w:t>
            </w:r>
          </w:p>
          <w:p w:rsidR="00C01FC5" w:rsidRPr="0008380F" w:rsidRDefault="00C01FC5">
            <w:pPr>
              <w:rPr>
                <w:sz w:val="18"/>
                <w:szCs w:val="18"/>
              </w:rPr>
            </w:pPr>
            <w:r w:rsidRPr="0008380F">
              <w:rPr>
                <w:sz w:val="18"/>
                <w:szCs w:val="18"/>
              </w:rPr>
              <w:t>Providing wrap around services for children and young people at risk of running away</w:t>
            </w:r>
          </w:p>
        </w:tc>
      </w:tr>
    </w:tbl>
    <w:p w:rsidR="002E2D78" w:rsidRPr="0092691F" w:rsidRDefault="002E2D78">
      <w:pPr>
        <w:rPr>
          <w:sz w:val="20"/>
          <w:szCs w:val="20"/>
        </w:rPr>
      </w:pPr>
    </w:p>
    <w:sectPr w:rsidR="002E2D78" w:rsidRPr="0092691F" w:rsidSect="0008380F">
      <w:pgSz w:w="16838" w:h="11906" w:orient="landscape"/>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4918"/>
    <w:multiLevelType w:val="hybridMultilevel"/>
    <w:tmpl w:val="BA18AC22"/>
    <w:lvl w:ilvl="0" w:tplc="63F2BE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27840"/>
    <w:multiLevelType w:val="hybridMultilevel"/>
    <w:tmpl w:val="69FA0CE2"/>
    <w:lvl w:ilvl="0" w:tplc="63F2BE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5C1D9C"/>
    <w:multiLevelType w:val="hybridMultilevel"/>
    <w:tmpl w:val="42B0C7CA"/>
    <w:lvl w:ilvl="0" w:tplc="63F2BE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E55ABB"/>
    <w:multiLevelType w:val="hybridMultilevel"/>
    <w:tmpl w:val="83CEE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B609A6"/>
    <w:multiLevelType w:val="hybridMultilevel"/>
    <w:tmpl w:val="8878D660"/>
    <w:lvl w:ilvl="0" w:tplc="63F2BE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9177F7"/>
    <w:multiLevelType w:val="hybridMultilevel"/>
    <w:tmpl w:val="E1EE2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87705E"/>
    <w:multiLevelType w:val="hybridMultilevel"/>
    <w:tmpl w:val="63AE97B0"/>
    <w:lvl w:ilvl="0" w:tplc="63F2BE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866F4D"/>
    <w:multiLevelType w:val="hybridMultilevel"/>
    <w:tmpl w:val="7646C938"/>
    <w:lvl w:ilvl="0" w:tplc="63F2BE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503853"/>
    <w:multiLevelType w:val="hybridMultilevel"/>
    <w:tmpl w:val="1B48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7"/>
  </w:num>
  <w:num w:numId="5">
    <w:abstractNumId w:val="0"/>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D78"/>
    <w:rsid w:val="00067D0E"/>
    <w:rsid w:val="0008380F"/>
    <w:rsid w:val="000B4327"/>
    <w:rsid w:val="000E3BD8"/>
    <w:rsid w:val="002E2D78"/>
    <w:rsid w:val="0031735C"/>
    <w:rsid w:val="00454497"/>
    <w:rsid w:val="0050675E"/>
    <w:rsid w:val="00513ED3"/>
    <w:rsid w:val="005A5505"/>
    <w:rsid w:val="005C3A49"/>
    <w:rsid w:val="005F143D"/>
    <w:rsid w:val="0066399B"/>
    <w:rsid w:val="00771F1B"/>
    <w:rsid w:val="00784950"/>
    <w:rsid w:val="00867D24"/>
    <w:rsid w:val="0092691F"/>
    <w:rsid w:val="0093258E"/>
    <w:rsid w:val="009711AC"/>
    <w:rsid w:val="00974AE5"/>
    <w:rsid w:val="00C01FC5"/>
    <w:rsid w:val="00CE6A57"/>
    <w:rsid w:val="00D079CA"/>
    <w:rsid w:val="00D2114E"/>
    <w:rsid w:val="00D912C6"/>
    <w:rsid w:val="00E403EA"/>
    <w:rsid w:val="00EB204A"/>
    <w:rsid w:val="00EF24A5"/>
    <w:rsid w:val="00F73C89"/>
    <w:rsid w:val="00FD2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D24"/>
    <w:pPr>
      <w:ind w:left="720"/>
      <w:contextualSpacing/>
    </w:pPr>
  </w:style>
  <w:style w:type="paragraph" w:styleId="NoSpacing">
    <w:name w:val="No Spacing"/>
    <w:uiPriority w:val="1"/>
    <w:qFormat/>
    <w:rsid w:val="0008380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2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D24"/>
    <w:pPr>
      <w:ind w:left="720"/>
      <w:contextualSpacing/>
    </w:pPr>
  </w:style>
  <w:style w:type="paragraph" w:styleId="NoSpacing">
    <w:name w:val="No Spacing"/>
    <w:uiPriority w:val="1"/>
    <w:qFormat/>
    <w:rsid w:val="000838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Mitchell</dc:creator>
  <cp:lastModifiedBy>Claire Spracklen</cp:lastModifiedBy>
  <cp:revision>3</cp:revision>
  <cp:lastPrinted>2017-11-07T13:47:00Z</cp:lastPrinted>
  <dcterms:created xsi:type="dcterms:W3CDTF">2017-12-01T16:26:00Z</dcterms:created>
  <dcterms:modified xsi:type="dcterms:W3CDTF">2017-12-01T16:27:00Z</dcterms:modified>
</cp:coreProperties>
</file>